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CA" w:rsidRDefault="003622CA" w:rsidP="003622CA">
      <w:bookmarkStart w:id="0" w:name="_GoBack"/>
      <w:bookmarkEnd w:id="0"/>
    </w:p>
    <w:p w:rsidR="003622CA" w:rsidRDefault="003622CA" w:rsidP="003622CA"/>
    <w:p w:rsidR="003622CA" w:rsidRPr="003622CA" w:rsidRDefault="003622CA" w:rsidP="003622CA"/>
    <w:p w:rsidR="003622CA" w:rsidRDefault="003622CA" w:rsidP="003622CA"/>
    <w:p w:rsidR="003622CA" w:rsidRDefault="003622CA" w:rsidP="003622CA"/>
    <w:p w:rsidR="003622CA" w:rsidRDefault="003622CA" w:rsidP="003622CA"/>
    <w:p w:rsidR="002E49A7" w:rsidRDefault="00931FB8">
      <w:pPr>
        <w:jc w:val="right"/>
      </w:pPr>
      <w:r w:rsidRPr="00CB2842">
        <w:t xml:space="preserve">Na vědomí: </w:t>
      </w:r>
    </w:p>
    <w:p w:rsidR="00CB2842" w:rsidRPr="00CB2842" w:rsidRDefault="00CB2842" w:rsidP="00CB2842">
      <w:pPr>
        <w:jc w:val="right"/>
      </w:pPr>
    </w:p>
    <w:p w:rsidR="002E49A7" w:rsidRDefault="00931FB8">
      <w:pPr>
        <w:jc w:val="right"/>
      </w:pPr>
      <w:r w:rsidRPr="00CB2842">
        <w:t xml:space="preserve">Thierry Breton </w:t>
      </w:r>
    </w:p>
    <w:p w:rsidR="002E49A7" w:rsidRDefault="00931FB8">
      <w:pPr>
        <w:jc w:val="right"/>
      </w:pPr>
      <w:r w:rsidRPr="00CB2842">
        <w:t xml:space="preserve">Komisař pro vnitřní trh </w:t>
      </w:r>
    </w:p>
    <w:p w:rsidR="00CB2842" w:rsidRPr="00CB2842" w:rsidRDefault="00CB2842" w:rsidP="00CB2842">
      <w:pPr>
        <w:jc w:val="right"/>
      </w:pPr>
    </w:p>
    <w:p w:rsidR="002E49A7" w:rsidRDefault="00931FB8">
      <w:pPr>
        <w:jc w:val="right"/>
      </w:pPr>
      <w:r w:rsidRPr="00CB2842">
        <w:t xml:space="preserve">Virginijus Sinkevičius </w:t>
      </w:r>
    </w:p>
    <w:p w:rsidR="002E49A7" w:rsidRDefault="00931FB8">
      <w:pPr>
        <w:jc w:val="right"/>
      </w:pPr>
      <w:r w:rsidRPr="00CB2842">
        <w:t xml:space="preserve">Komisař pro životní prostředí, oceány a rybolov </w:t>
      </w:r>
    </w:p>
    <w:p w:rsidR="00CB2842" w:rsidRPr="00CB2842" w:rsidRDefault="00CB2842" w:rsidP="00CB2842">
      <w:pPr>
        <w:jc w:val="right"/>
      </w:pPr>
    </w:p>
    <w:p w:rsidR="002E49A7" w:rsidRDefault="00931FB8">
      <w:pPr>
        <w:jc w:val="right"/>
      </w:pPr>
      <w:r w:rsidRPr="00CB2842">
        <w:t xml:space="preserve">Stella Kyriakidesová </w:t>
      </w:r>
    </w:p>
    <w:p w:rsidR="002E49A7" w:rsidRDefault="00931FB8">
      <w:pPr>
        <w:jc w:val="right"/>
      </w:pPr>
      <w:r w:rsidRPr="00CB2842">
        <w:t>Komisař pro zdraví a bezpečnost potravin</w:t>
      </w:r>
    </w:p>
    <w:p w:rsidR="00CB2842" w:rsidRPr="00CB2842" w:rsidRDefault="00CB2842" w:rsidP="00CB2842">
      <w:pPr>
        <w:jc w:val="right"/>
      </w:pPr>
    </w:p>
    <w:p w:rsidR="00CB2842" w:rsidRPr="00CB2842" w:rsidRDefault="00CB2842" w:rsidP="00CB2842">
      <w:pPr>
        <w:jc w:val="right"/>
      </w:pPr>
    </w:p>
    <w:p w:rsidR="00CB2842" w:rsidRPr="00CB2842" w:rsidRDefault="00CB2842" w:rsidP="00CB2842">
      <w:pPr>
        <w:jc w:val="right"/>
      </w:pPr>
    </w:p>
    <w:p w:rsidR="002E49A7" w:rsidRDefault="00931FB8">
      <w:pPr>
        <w:jc w:val="right"/>
      </w:pPr>
      <w:r>
        <w:t>Brusel</w:t>
      </w:r>
      <w:r w:rsidR="00CB2842">
        <w:t xml:space="preserve">, 24. </w:t>
      </w:r>
      <w:r w:rsidR="00CB2842" w:rsidRPr="00CB2842">
        <w:t xml:space="preserve">října 2023 </w:t>
      </w:r>
    </w:p>
    <w:p w:rsidR="00CB2842" w:rsidRPr="00CB2842" w:rsidRDefault="00CB2842" w:rsidP="00CB2842"/>
    <w:p w:rsidR="00CB2842" w:rsidRPr="00CB2842" w:rsidRDefault="00CB2842" w:rsidP="00CB2842"/>
    <w:p w:rsidR="00CB2842" w:rsidRPr="00CB2842" w:rsidRDefault="00CB2842" w:rsidP="00CB2842"/>
    <w:p w:rsidR="00CB2842" w:rsidRPr="00CB2842" w:rsidRDefault="00CB2842" w:rsidP="00CB2842"/>
    <w:p w:rsidR="002E49A7" w:rsidRDefault="00931FB8">
      <w:r w:rsidRPr="00CB2842">
        <w:rPr>
          <w:b/>
        </w:rPr>
        <w:t>Předmět: Zpracování informací o projektu, který se uskutečnil v roce 2012, a o jeho výsledcích: Připomínky k dopisu poslanců Evropského parlamentu k návrhu změny přílohy XVII nařízení REACH: omezení olova při střelbě a venkovním rybolovu</w:t>
      </w:r>
    </w:p>
    <w:p w:rsidR="00CB2842" w:rsidRDefault="00CB2842" w:rsidP="00CB2842"/>
    <w:p w:rsidR="00CB2842" w:rsidRDefault="00CB2842" w:rsidP="00CB2842"/>
    <w:p w:rsidR="002E49A7" w:rsidRDefault="00931FB8">
      <w:r>
        <w:t>Vážení komisaři,</w:t>
      </w:r>
    </w:p>
    <w:p w:rsidR="00CB2842" w:rsidRDefault="00CB2842" w:rsidP="00CB2842"/>
    <w:p w:rsidR="002E49A7" w:rsidRDefault="00931FB8">
      <w:r>
        <w:t>Pokud vím, byl Vám zaslán společný dopis poslankyň Evropského parlamentu Róży Thun Und Hohenstein, Marie Areny, Jutty Paulus a Anji Hazekamp. Tento dopis mě zarazil velkým množstvím nepravdivých informací a nedodržováním vědeckých kritérií, proto považuj</w:t>
      </w:r>
      <w:r>
        <w:t>i za svou povinnost se k němu vyjádřit.</w:t>
      </w:r>
    </w:p>
    <w:p w:rsidR="00CB2842" w:rsidRDefault="00CB2842" w:rsidP="00CB2842"/>
    <w:p w:rsidR="0038780A" w:rsidRDefault="0038780A" w:rsidP="00CB2842"/>
    <w:p w:rsidR="002E49A7" w:rsidRDefault="00931FB8">
      <w:r>
        <w:t xml:space="preserve">Je načase objasnit a vysvětlit na základě vědeckých důkazů skutečné nebezpečí olova, a to bez jakéhokoli ideologického přístupu. Rozhodnutí omezit používání olova ve střelivu a rybolovu prostřednictvím nařízení EU </w:t>
      </w:r>
      <w:r>
        <w:t>REACH je chybou a mohlo by vytvořit riziko pro životní prostředí z hlediska znečištění a pro ekonomiku uživatelů. Je načase, aby Komise tuto situaci objasnila a vzala v úvahu tvrdá data a vědecké důkazy, aby se vyhnula některým zavádějícím a nebezpečným te</w:t>
      </w:r>
      <w:r>
        <w:t>oriím.</w:t>
      </w:r>
    </w:p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2E49A7" w:rsidRDefault="00931FB8">
      <w:r>
        <w:t>Kontinuální rozptyl olova v životním prostředí je nejistý. Vědci studovali dopady požití olova ptáky v terénu a v laboratoři, ale rozsah ztrát na populacích suchozemských ptáků není dosud znám</w:t>
      </w:r>
      <w:r>
        <w:rPr>
          <w:rStyle w:val="FootnoteReference"/>
        </w:rPr>
        <w:footnoteReference w:id="1"/>
      </w:r>
      <w:r>
        <w:t xml:space="preserve"> . Podle spolehlivých zdrojů z Norska nezávis</w:t>
      </w:r>
      <w:r>
        <w:t>í rozptyl olova v životním prostředí na loveckých nebo střeleckých aktivitách, ale na přítomnosti samotného olova v podzemí nebo ve vodních tocích, a to buď přirozeně</w:t>
      </w:r>
      <w:r>
        <w:rPr>
          <w:rStyle w:val="FootnoteReference"/>
        </w:rPr>
        <w:footnoteReference w:id="2"/>
      </w:r>
      <w:r>
        <w:t xml:space="preserve"> v důsledku geologických ložisek olova, nebo prostřednictvím přírodních zdrojů, jako je u</w:t>
      </w:r>
      <w:r>
        <w:t>volňování minerálů obsahujících olovo. Za druhé, jiný švédský zdroj uvádí, že pokud vezmeme v úvahu 100 let lovu s olověným brokovým střelivem, bude v lesích pouze jeden olověný brok na 25 m2 a v horách na každých 100 m2</w:t>
      </w:r>
      <w:r>
        <w:rPr>
          <w:rStyle w:val="FootnoteReference"/>
        </w:rPr>
        <w:footnoteReference w:id="3"/>
      </w:r>
      <w:r>
        <w:t xml:space="preserve"> .</w:t>
      </w:r>
    </w:p>
    <w:p w:rsidR="0038780A" w:rsidRDefault="0038780A" w:rsidP="00CB2842"/>
    <w:p w:rsidR="002E49A7" w:rsidRDefault="00931FB8">
      <w:r>
        <w:t>Pokud jde o lidské zdraví a živ</w:t>
      </w:r>
      <w:r>
        <w:t>otní prostředí, jsou obavy agentury ECHA přehnané. Například citace týkající se vystavení lovců a jejich rodin nadměrnému množství zvěřiny obsahující neskutečné množství olova, stejně jako toxikologické předpoklady o tom, že děti požívají 50 % olova ve for</w:t>
      </w:r>
      <w:r>
        <w:t xml:space="preserve">mě kovu, jsou příklady vzdálené realitě. Jak si lze skutečně myslet, že by nedávno narozené děti mohly pozřít takové množství zvěřiny? Rozhodně se nejedná o vhodnou stravu pro kojence nebo děti narozené před několika lety. </w:t>
      </w:r>
    </w:p>
    <w:p w:rsidR="002E49A7" w:rsidRDefault="00931FB8">
      <w:r>
        <w:t>Ale to není všechno: studie ECHA</w:t>
      </w:r>
      <w:r>
        <w:t xml:space="preserve"> stará asi rok a půl uvádí, že každý člověk zkonzumuje asi 80 kg zvěřiny ročně, a tvrdí, že obsahuje 2,5 mg/kg olova (takže výpočet: 200 mg olova na osobu). Olovo uvnitř zvířete pochází z ranného kanálu (což ve své studii potvrdila i ECHA), chybou však je,</w:t>
      </w:r>
      <w:r>
        <w:t xml:space="preserve"> že se neuvažuje o tom, že zvíře je po zastřelení zcela očištěno od vnitřností, včetně ranného kanálu, kde se olovo nachází; tyto části tedy zůstávají mimo potravní řetězec. Tyto příklady jsou extrémní, na hony vzdálené reálným podmínkám. Na druhé straně, </w:t>
      </w:r>
      <w:r>
        <w:t xml:space="preserve">pokud jde o škody na fauně, agentura ECHA odhadla, že rozptyl střel a projektilů vede k úhynu více než 1,3 milionu ptáků. Tento odhad je značně přehnaný a především nepotvrzený vzhledem k tomu, že pozřením olověných broků jsou ohroženy pouze některé druhy </w:t>
      </w:r>
      <w:r>
        <w:t>ptáků, zejména pouze kachny z druhu "dnových krmítek", které kvůli potravě prohledávají mořské dno a mohly by neúmyslně pozřít olověné broky, které se tam nahromadily. Bylo by proto rozumné, aby posouzení rizik bylo založeno na určitém stupni realismu. Nej</w:t>
      </w:r>
      <w:r>
        <w:t>horší scénáře zvažované agenturou ECHA totiž snižují důvěryhodnost celého systému a mohou potenciálně vést ke zbytečným omezením.</w:t>
      </w:r>
    </w:p>
    <w:p w:rsidR="0038780A" w:rsidRDefault="0038780A" w:rsidP="00CB2842"/>
    <w:p w:rsidR="002E49A7" w:rsidRDefault="00931FB8">
      <w:r>
        <w:t>Pokud jde o alternativy k olovu pro použití ve střelivu, ocel není životaschopnou alternativou, protože by vedla k nesmyslném</w:t>
      </w:r>
      <w:r>
        <w:t>u zvýšení nákladů pro střelce a lovce bez zjevného důvodu, a to kvůli neprokázané nebezpečnosti olova. Ocel by navíc ze své podstaty způsobila větší utrpení zvířatům při lovu, neboť je kovem s menší smrtelností než olovo. To by zcela jistě narušilo politik</w:t>
      </w:r>
      <w:r>
        <w:t>u dobrých životních podmínek zvířat, kterou výborně prosazuje Evropská komise.</w:t>
      </w:r>
    </w:p>
    <w:p w:rsidR="00CB2842" w:rsidRDefault="00CB2842" w:rsidP="00CB2842"/>
    <w:p w:rsidR="00CB2842" w:rsidRDefault="00CB2842" w:rsidP="00CB2842"/>
    <w:p w:rsidR="00CB2842" w:rsidRDefault="00CB2842" w:rsidP="00CB2842"/>
    <w:p w:rsidR="00CB2842" w:rsidRDefault="00CB2842" w:rsidP="00CB2842"/>
    <w:p w:rsidR="002E49A7" w:rsidRDefault="00931FB8">
      <w:r>
        <w:t>Toto omezení nemá zásadní význam pro zlepšení života našich občanů a volně žijících živočichů obecně. Omezení používání olova bez nezvratných vědeckých důkazů by představovalo riziko pro spotřebitele, pracovníky v průmyslu a neprospělo by životnímu prostře</w:t>
      </w:r>
      <w:r>
        <w:t>dí. Bismut, wolfram a cín pro střely a plná měď nebo slitiny mědi (90-95 % mědi a 5-10 % zinku) pro střely ve skutečnosti nejsou životaschopnou alternativou olověného střeliva, neboť mají různé problémy zahrnující technické problémy, problémy s výkonem, zv</w:t>
      </w:r>
      <w:r>
        <w:t>ýšené náklady a nedostupnost v různých rážích.</w:t>
      </w:r>
    </w:p>
    <w:p w:rsidR="00CB2842" w:rsidRDefault="00CB2842" w:rsidP="00CB2842"/>
    <w:p w:rsidR="002E49A7" w:rsidRDefault="00931FB8">
      <w:r>
        <w:t xml:space="preserve">Rád bych vás proto vyzval, abyste před přijetím rozhodnutí, která by mohla ještě zhoršit současnou situaci životního prostředí v Evropě, zvážili všechny vědecké důkazy, které jsou dnes k dispozici, a zvážili </w:t>
      </w:r>
      <w:r>
        <w:t>i další pohledy na účinky a důsledky olova. Omezení olova v outdoorovém střeleckém a rybářském vybavení je omyl diktovaný většinou nepodloženými názory a informacemi. Nechtěl bych, a se mnou minimálně více než 6,5 milionu evropských myslivců a přes 10 mili</w:t>
      </w:r>
      <w:r>
        <w:t>onů rybářů, aby dezinformace a ukvapené úvahy měly špatně skrývaný cíl vyhlásit konec lovu, rybolovu a dalších sportovních aktivit. Žádám vás, abyste při svých budoucích rozhodnutích vzali v úvahu naše obavy.</w:t>
      </w:r>
    </w:p>
    <w:p w:rsidR="00CB2842" w:rsidRDefault="00CB2842" w:rsidP="00CB2842"/>
    <w:p w:rsidR="00EF2217" w:rsidRDefault="00EF2217" w:rsidP="00CB2842"/>
    <w:p w:rsidR="00EF2217" w:rsidRDefault="00EF2217" w:rsidP="00CB2842"/>
    <w:p w:rsidR="002E49A7" w:rsidRDefault="00931FB8">
      <w:r>
        <w:t xml:space="preserve">S pozdravem, </w:t>
      </w:r>
    </w:p>
    <w:p w:rsidR="00CB2842" w:rsidRDefault="00CB2842" w:rsidP="00CB2842"/>
    <w:p w:rsidR="002E49A7" w:rsidRDefault="00931FB8">
      <w:r>
        <w:t>Pietro Fiocchi</w:t>
      </w:r>
    </w:p>
    <w:p w:rsidR="00CB2842" w:rsidRDefault="00CB2842" w:rsidP="00CB2842"/>
    <w:p w:rsidR="00CB2842" w:rsidRDefault="00CB2842" w:rsidP="00CB2842"/>
    <w:p w:rsidR="00FF3446" w:rsidRPr="00FF3446" w:rsidRDefault="00FF3446" w:rsidP="00FF3446"/>
    <w:sectPr w:rsidR="00FF3446" w:rsidRPr="00FF34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CA" w:rsidRDefault="003622CA" w:rsidP="003622CA">
      <w:r>
        <w:separator/>
      </w:r>
    </w:p>
  </w:endnote>
  <w:endnote w:type="continuationSeparator" w:id="0">
    <w:p w:rsidR="003622CA" w:rsidRDefault="003622CA" w:rsidP="003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CA" w:rsidRDefault="003622CA" w:rsidP="003622CA">
      <w:r>
        <w:separator/>
      </w:r>
    </w:p>
  </w:footnote>
  <w:footnote w:type="continuationSeparator" w:id="0">
    <w:p w:rsidR="003622CA" w:rsidRDefault="003622CA" w:rsidP="003622CA">
      <w:r>
        <w:continuationSeparator/>
      </w:r>
    </w:p>
  </w:footnote>
  <w:footnote w:id="1">
    <w:p w:rsidR="002E49A7" w:rsidRDefault="00931FB8">
      <w:pPr>
        <w:pStyle w:val="FootnoteText"/>
      </w:pPr>
      <w:r>
        <w:rPr>
          <w:rStyle w:val="FootnoteReference"/>
        </w:rPr>
        <w:footnoteRef/>
      </w:r>
      <w:r w:rsidRPr="003058FC">
        <w:rPr>
          <w:lang w:val="it-IT"/>
        </w:rPr>
        <w:t xml:space="preserve"> Andreotti A, Guberti V, Nardelli R, Pirrello S, Serra L, Volponi S a další.</w:t>
      </w:r>
    </w:p>
    <w:p w:rsidR="002E49A7" w:rsidRDefault="00931FB8">
      <w:pPr>
        <w:pStyle w:val="FootnoteText"/>
      </w:pPr>
      <w:r>
        <w:t>úmrtnost způsobená používáním olověných broků v evropských mokřadech. Sci Total Environ. 2018; 610: 1505-</w:t>
      </w:r>
    </w:p>
    <w:p w:rsidR="002E49A7" w:rsidRDefault="00931FB8">
      <w:pPr>
        <w:pStyle w:val="FootnoteText"/>
      </w:pPr>
      <w:r>
        <w:t xml:space="preserve">1513. https://doi.org/10.1016/j.scitotenv.2017.06.085 PMID: 28648373 Mateo R. Otrava olovem u volně žijících ptáků v Evropě a předpisy přijaté v různých zemích. In: Olověná olova v České republice: Watson RT MFMP a WH, editor. Ingestion of Lead from Spent </w:t>
      </w:r>
      <w:r>
        <w:t>Ammunition [Požití olova z vyhořelé munice]: Implications for Wildlife and Humans (Důsledky pro volně žijící živočichy a člověka). Boise, Idaho, USA: The Peregrine Fund; 2009. s. 71-98. https://doi.</w:t>
      </w:r>
      <w:hyperlink r:id="rId1" w:history="1">
        <w:r w:rsidRPr="00971A51">
          <w:rPr>
            <w:rStyle w:val="Hyperlink"/>
          </w:rPr>
          <w:t>org/10.4080/</w:t>
        </w:r>
      </w:hyperlink>
      <w:r>
        <w:t xml:space="preserve"> ilsa</w:t>
      </w:r>
      <w:r>
        <w:t>.2009.0107</w:t>
      </w:r>
    </w:p>
  </w:footnote>
  <w:footnote w:id="2">
    <w:p w:rsidR="002E49A7" w:rsidRDefault="00931FB8">
      <w:pPr>
        <w:pStyle w:val="FootnoteText"/>
      </w:pPr>
      <w:r>
        <w:rPr>
          <w:rStyle w:val="FootnoteReference"/>
        </w:rPr>
        <w:footnoteRef/>
      </w:r>
      <w:r w:rsidRPr="001C1A1C">
        <w:t xml:space="preserve"> Slovní fórum o střelecké činnosti - WFSA</w:t>
      </w:r>
      <w:r>
        <w:t>;</w:t>
      </w:r>
    </w:p>
  </w:footnote>
  <w:footnote w:id="3">
    <w:p w:rsidR="002E49A7" w:rsidRDefault="00931FB8">
      <w:pPr>
        <w:pStyle w:val="FootnoteText"/>
      </w:pPr>
      <w:r>
        <w:rPr>
          <w:rStyle w:val="FootnoteReference"/>
        </w:rPr>
        <w:footnoteRef/>
      </w:r>
      <w:r w:rsidRPr="001C1A1C">
        <w:t xml:space="preserve"> Slovní fórum o střelecké činnosti - WFSA;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A7" w:rsidRDefault="00931FB8">
    <w:pPr>
      <w:pStyle w:val="Header"/>
    </w:pPr>
    <w:r w:rsidRPr="003622C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2066925</wp:posOffset>
          </wp:positionH>
          <wp:positionV relativeFrom="paragraph">
            <wp:posOffset>-240030</wp:posOffset>
          </wp:positionV>
          <wp:extent cx="1390650" cy="1103630"/>
          <wp:effectExtent l="0" t="0" r="0" b="0"/>
          <wp:wrapThrough wrapText="bothSides">
            <wp:wrapPolygon edited="0">
              <wp:start x="9468" y="2983"/>
              <wp:lineTo x="6214" y="3728"/>
              <wp:lineTo x="3255" y="7084"/>
              <wp:lineTo x="2367" y="16778"/>
              <wp:lineTo x="5622" y="17896"/>
              <wp:lineTo x="7101" y="17896"/>
              <wp:lineTo x="17162" y="17151"/>
              <wp:lineTo x="19233" y="16778"/>
              <wp:lineTo x="18937" y="7457"/>
              <wp:lineTo x="14499" y="4101"/>
              <wp:lineTo x="10948" y="2983"/>
              <wp:lineTo x="9468" y="2983"/>
            </wp:wrapPolygon>
          </wp:wrapThrough>
          <wp:docPr id="1" name="Picture 1" descr="Home | Download Centre | European Parli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Download Centre | European Parli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4000"/>
                            </a14:imgEffect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622E"/>
    <w:multiLevelType w:val="hybridMultilevel"/>
    <w:tmpl w:val="002CD65E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A3"/>
    <w:rsid w:val="002E49A7"/>
    <w:rsid w:val="0030535D"/>
    <w:rsid w:val="003622CA"/>
    <w:rsid w:val="0038780A"/>
    <w:rsid w:val="005762E3"/>
    <w:rsid w:val="006B6EA3"/>
    <w:rsid w:val="008765BE"/>
    <w:rsid w:val="00931FB8"/>
    <w:rsid w:val="009A1B8C"/>
    <w:rsid w:val="00CB2842"/>
    <w:rsid w:val="00EF2217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868E-98DD-4F71-B122-DE785538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6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2C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2CA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8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84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28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080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E622-E5FF-47A1-B933-3875B381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GIANOLA Giorgia</dc:creator>
  <cp:keywords>, docId:CB850A78C7B76F3EF0E65D1DE6750F2A</cp:keywords>
  <dc:description/>
  <cp:lastModifiedBy>ROMANOVA Silvie</cp:lastModifiedBy>
  <cp:revision>2</cp:revision>
  <dcterms:created xsi:type="dcterms:W3CDTF">2023-10-26T09:27:00Z</dcterms:created>
  <dcterms:modified xsi:type="dcterms:W3CDTF">2023-10-26T09:27:00Z</dcterms:modified>
</cp:coreProperties>
</file>